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3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1140"/>
        <w:gridCol w:w="1845"/>
        <w:gridCol w:w="4050"/>
        <w:gridCol w:w="3885"/>
        <w:gridCol w:w="3915"/>
        <w:tblGridChange w:id="0">
          <w:tblGrid>
            <w:gridCol w:w="555"/>
            <w:gridCol w:w="1140"/>
            <w:gridCol w:w="1845"/>
            <w:gridCol w:w="4050"/>
            <w:gridCol w:w="3885"/>
            <w:gridCol w:w="3915"/>
          </w:tblGrid>
        </w:tblGridChange>
      </w:tblGrid>
      <w:tr>
        <w:trPr>
          <w:cantSplit w:val="0"/>
          <w:tblHeader w:val="0"/>
        </w:trPr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Rule="auto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Nazwa dokumentu:</w:t>
            </w: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Opis założeń projektu informatycznego pn. „Rozwój systemu monitoringu karier absolwentów i absolwentek szkół ponadpodstawowych”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120" w:before="120" w:lineRule="auto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Organ wnoszący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Jednostka redakcyjna, do której wnoszone są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Treść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Propozycja zmian zapisu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Odniesienie do uwagi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60" w:before="60" w:lineRule="auto"/>
              <w:rPr>
                <w:rFonts w:ascii="Lato" w:cs="Lato" w:eastAsia="Lato" w:hAnsi="La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2"/>
                <w:szCs w:val="22"/>
                <w:rtl w:val="0"/>
              </w:rPr>
              <w:t xml:space="preserve">Ministerstwo Rodziny, Pracy i Polityki Społecznej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 Część 1.1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W opisie w części 1.1. (Identyfikacja problemu i potrzeb) proponuje się uwzględnić informację o użyteczności wypracowanych rozwiązań dla wojewódzkich i powiatowych urzędów pracy w ramach świadczenia usług poradnictwa zawodowego dla osób bezrobotnych, poszukujących pracy, uczniów i studentów. Dostęp do platformy monitoringu powinien być w pełni możliwy dla doradców zawodowych z urzędów pracy.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Uwzględniono poprzez dopisanie w części 1.1, w wierszu odnoszącym się do doradców zawodowych, w kolumnie „zidentyfikowany problem” punktu:</w:t>
            </w:r>
          </w:p>
          <w:p w:rsidR="00000000" w:rsidDel="00000000" w:rsidP="00000000" w:rsidRDefault="00000000" w:rsidRPr="00000000" w14:paraId="00000017">
            <w:pPr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„3. Brak możliwości wykorzystania informacji o przebiegu karier absolwentów poszczególnych zawodów przez doradców zawodowych urzędów pracy w ramach świadczenia usług poradnictwa zawodowego dla osób bezrobotnych, poszukujących pracy, uczniów i studentów.”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2"/>
                <w:szCs w:val="22"/>
                <w:rtl w:val="0"/>
              </w:rPr>
              <w:t xml:space="preserve">Ministerstwo Rodziny, Pracy i Polityki Społecznej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Część 1.1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W tabeli w części 1.1 Interesariusze w wierszu „Doradcy zawodowi”, nie jest jasne, czy szacunkowa wielkość grupy (2500) obejmuje również doradców zawodowych z wojewódzkich i powiatowych urzędów pracy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jc w:val="left"/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Tak, według informacji udostępnionych przez Ministerstwo Rodziny i Polityki społecznej w Polsce w 2022 r liczba doradców zawodowych wnosiła 1616 osób, w tym 1413 pracowało w Powiatowych Urzędach Pracy. W tabeli przyjęto bezpieczne oszacowanie na poziomie 2500 osób, co gwarantuje stabilne działanie raportów udostępnianych doradcom nawet w sytuacji, gdyby w kolejnych latach liczba doradców zawodowych wzrosła.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2"/>
                <w:szCs w:val="22"/>
                <w:rtl w:val="0"/>
              </w:rPr>
              <w:t xml:space="preserve">Ministerstwo Rodziny, Pracy i Polityki Społecznej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Część 6, pkt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W części 6. Otoczenie prawne, w pkt 6 znajduje się zapis, iż konieczna będzie zmiana w ustawie z dnia 20 kwietnia 2004 r. o promocji zatrudnienia i instytucjach rynku pracy (Dz. U. </w:t>
              <w:br w:type="textWrapping"/>
              <w:t xml:space="preserve">z 2023 r. poz. 735, z późn. zm.): „Modyfikacja zakresu danych – rozszerzenie zakresu danych wykorzystywanych w monitoringu </w:t>
              <w:br w:type="textWrapping"/>
              <w:t xml:space="preserve">o informacje pozwalające na identyfikację w systemie monitoringu uczestników Ochotniczych Hufców Pracy”. O ile uzasadnionym wydaje się uwzględnianie w monitoringu także uczestników OHP, należy zwrócić uwagę, że szczegółowe rozwiązania prawne w tym zakresie, szczególnie w obszarze przekazywania danych osobowych przez OHP innym podmiotom, wymagają głębszego zastanowienia, rozpoznania sytuacji i konsultacji.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left"/>
              <w:rPr>
                <w:rFonts w:ascii="Lato" w:cs="Lato" w:eastAsia="Lato" w:hAnsi="Lato"/>
                <w:sz w:val="22"/>
                <w:szCs w:val="22"/>
              </w:rPr>
            </w:pPr>
            <w:r w:rsidDel="00000000" w:rsidR="00000000" w:rsidRPr="00000000">
              <w:rPr>
                <w:rFonts w:ascii="Lato" w:cs="Lato" w:eastAsia="Lato" w:hAnsi="Lato"/>
                <w:sz w:val="22"/>
                <w:szCs w:val="22"/>
                <w:rtl w:val="0"/>
              </w:rPr>
              <w:t xml:space="preserve">W projekcie przewidziano konsultacje zakresu pozyskiwanych danych oraz konstrukcji przepisów, które umożliwią ich przetwarzanie. Konsultacje będą prowadzone zarówno z przedstawicielami gestorów danych, jak i nadzorujących je ministerstw. W przypadku planowanych zmian pozwalających na identyfikację wśród absolwentów szkół ponadpodstawowych uczestników OHP, konsultacje z przedstawicielami Ministerstwa Pracy i Polityki Społecznej, jak i Komendy Głównej Ochotniczych Hufców Pracy. </w:t>
            </w:r>
          </w:p>
        </w:tc>
      </w:tr>
    </w:tbl>
    <w:p w:rsidR="00000000" w:rsidDel="00000000" w:rsidP="00000000" w:rsidRDefault="00000000" w:rsidRPr="00000000" w14:paraId="00000024">
      <w:pPr>
        <w:jc w:val="center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sz w:val="24"/>
      <w:szCs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rsid w:val="00C64B1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rsid w:val="00A06425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ixvDMuXSqtmXUkSzR2aS0ekQGA==">CgMxLjA4AHIhMXBEdDExVy02UkgwdExaaVZGVkhFWUU2QmUxVnZLV2tm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2024-01-29T15:02:00Z</dcterms:created>
  <dc:creator>BAF</dc:creator>
</cp:coreProperties>
</file>